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0"/>
        </w:rPr>
        <w:t>RELATÓRIO TRIMESTRAL DE RESULTADOS COMERCIAIS</w:t>
      </w:r>
    </w:p>
    <w:p>
      <w:pPr>
        <w:jc w:val="center"/>
      </w:pPr>
      <w:r>
        <w:rPr>
          <w:i/>
          <w:sz w:val="20"/>
        </w:rPr>
        <w:t>2º trimestre de 2026 (abril a junho) | Diretoria Comercial | Emitido em 15 de julho de 2026</w:t>
      </w:r>
    </w:p>
    <w:p/>
    <w:p>
      <w:pPr>
        <w:spacing w:before="240" w:after="80"/>
      </w:pPr>
      <w:r>
        <w:rPr>
          <w:b/>
          <w:sz w:val="24"/>
        </w:rPr>
        <w:t>1. Sumário</w:t>
      </w:r>
    </w:p>
    <w:p>
      <w:pPr>
        <w:spacing w:after="120"/>
        <w:jc w:val="both"/>
      </w:pPr>
      <w:r>
        <w:t>O segundo trimestre de 2026 encerrou com faturamento de R$ 18,4 milhões, crescimento de 7,6% sobre o primeiro trimestre e 96,8% da meta estabelecida (R$ 19,0 milhões). A margem bruta recuou de 22,1% para 21,3%, pressionada pelo custo de frete e pela participação crescente da linha de refrigerados, que opera com margem inferior.</w:t>
      </w:r>
    </w:p>
    <w:p>
      <w:pPr>
        <w:spacing w:after="120"/>
        <w:jc w:val="both"/>
      </w:pPr>
      <w:r>
        <w:t>A região de Ribeirão Preto apresentou o maior crescimento (13,0%) e, ao mesmo tempo, os dois principais pontos de atenção do período: inadimplência de 4,8% e índice de entregas no prazo de 87%, abaixo da meta de 95%.</w:t>
      </w:r>
    </w:p>
    <w:p>
      <w:pPr>
        <w:spacing w:after="120"/>
        <w:jc w:val="both"/>
      </w:pPr>
      <w:r>
        <w:t>A carteira ativa cresceu de 298 para 312 clientes. Os cinco maiores clientes respondem por 41% do faturamento, sendo Supermercados Bom Preço o maior deles, com 14,7% do total. Esta concentração é discutida na seção 6.</w:t>
      </w:r>
    </w:p>
    <w:p>
      <w:pPr>
        <w:spacing w:after="120"/>
        <w:jc w:val="both"/>
      </w:pPr>
      <w:r>
        <w:t>O estudo preliminar de expansão para Sorocaba foi concluído e está apresentado na seção 8, aguardando deliberação da diretoria.</w:t>
      </w:r>
    </w:p>
    <w:p>
      <w:pPr>
        <w:spacing w:before="240" w:after="80"/>
      </w:pPr>
      <w:r>
        <w:rPr>
          <w:b/>
          <w:sz w:val="24"/>
        </w:rPr>
        <w:t>2. Resultados consolidados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</w:tcPr>
          <w:p>
            <w:r>
              <w:rPr>
                <w:b/>
                <w:sz w:val="20"/>
              </w:rPr>
              <w:t>Indicador</w:t>
            </w:r>
          </w:p>
        </w:tc>
        <w:tc>
          <w:tcPr>
            <w:tcW w:type="dxa" w:w="2351"/>
          </w:tcPr>
          <w:p>
            <w:r>
              <w:rPr>
                <w:b/>
                <w:sz w:val="20"/>
              </w:rPr>
              <w:t>1º tri 2026</w:t>
            </w:r>
          </w:p>
        </w:tc>
        <w:tc>
          <w:tcPr>
            <w:tcW w:type="dxa" w:w="2351"/>
          </w:tcPr>
          <w:p>
            <w:r>
              <w:rPr>
                <w:b/>
                <w:sz w:val="20"/>
              </w:rPr>
              <w:t>2º tri 2026</w:t>
            </w:r>
          </w:p>
        </w:tc>
        <w:tc>
          <w:tcPr>
            <w:tcW w:type="dxa" w:w="2351"/>
          </w:tcPr>
          <w:p>
            <w:r>
              <w:rPr>
                <w:b/>
                <w:sz w:val="20"/>
              </w:rPr>
              <w:t>Variação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Faturamento bruto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R$ 17,1 mi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R$ 18,4 mi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+7,6%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Meta do trimestre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R$ 17,5 mi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R$ 19,0 mi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Atingimento da meta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97,7%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96,8%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-0,9 p.p.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Margem bruta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22,1%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21,3%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-0,8 p.p.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Clientes ativos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298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312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+14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Pedidos atendidos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6.410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6.935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+8,2%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Ticket médio por pedido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R$ 2.668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R$ 2.653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-0,6%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Entregas no prazo (geral)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92%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91%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-1 p.p.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Inadimplência (30+ dias)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2,4%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3,0%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+0,6 p.p.</w:t>
            </w:r>
          </w:p>
        </w:tc>
      </w:tr>
    </w:tbl>
    <w:p/>
    <w:p>
      <w:pPr>
        <w:spacing w:before="240" w:after="80"/>
      </w:pPr>
      <w:r>
        <w:rPr>
          <w:b/>
          <w:sz w:val="24"/>
        </w:rPr>
        <w:t>3. Resultados por região</w:t>
      </w:r>
    </w:p>
    <w:p>
      <w:pPr>
        <w:spacing w:after="120"/>
        <w:jc w:val="both"/>
      </w:pPr>
      <w:r>
        <w:t>A operação está organizada em três centros de distribuição: Campinas (atende Campinas e região metropolitana), Ribeirão Preto (atende o nordeste paulista) e Pouso Alegre (atende o sul de Minas Gerais).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</w:tcPr>
          <w:p>
            <w:r>
              <w:rPr>
                <w:b/>
                <w:sz w:val="20"/>
              </w:rPr>
              <w:t>Região</w:t>
            </w:r>
          </w:p>
        </w:tc>
        <w:tc>
          <w:tcPr>
            <w:tcW w:type="dxa" w:w="1881"/>
          </w:tcPr>
          <w:p>
            <w:r>
              <w:rPr>
                <w:b/>
                <w:sz w:val="20"/>
              </w:rPr>
              <w:t>Faturamento T2</w:t>
            </w:r>
          </w:p>
        </w:tc>
        <w:tc>
          <w:tcPr>
            <w:tcW w:type="dxa" w:w="1881"/>
          </w:tcPr>
          <w:p>
            <w:r>
              <w:rPr>
                <w:b/>
                <w:sz w:val="20"/>
              </w:rPr>
              <w:t>Var. vs T1</w:t>
            </w:r>
          </w:p>
        </w:tc>
        <w:tc>
          <w:tcPr>
            <w:tcW w:type="dxa" w:w="1881"/>
          </w:tcPr>
          <w:p>
            <w:r>
              <w:rPr>
                <w:b/>
                <w:sz w:val="20"/>
              </w:rPr>
              <w:t>Inadimplência</w:t>
            </w:r>
          </w:p>
        </w:tc>
        <w:tc>
          <w:tcPr>
            <w:tcW w:type="dxa" w:w="1881"/>
          </w:tcPr>
          <w:p>
            <w:r>
              <w:rPr>
                <w:b/>
                <w:sz w:val="20"/>
              </w:rPr>
              <w:t>Entregas no prazo</w:t>
            </w:r>
          </w:p>
        </w:tc>
      </w:tr>
      <w:tr>
        <w:tc>
          <w:tcPr>
            <w:tcW w:type="dxa" w:w="1881"/>
          </w:tcPr>
          <w:p>
            <w:r>
              <w:rPr>
                <w:sz w:val="20"/>
              </w:rPr>
              <w:t>Campinas e região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R$ 8,2 mi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+4,1%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2,1%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94%</w:t>
            </w:r>
          </w:p>
        </w:tc>
      </w:tr>
      <w:tr>
        <w:tc>
          <w:tcPr>
            <w:tcW w:type="dxa" w:w="1881"/>
          </w:tcPr>
          <w:p>
            <w:r>
              <w:rPr>
                <w:sz w:val="20"/>
              </w:rPr>
              <w:t>Ribeirão Preto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R$ 6,1 mi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+13,0%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4,8%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87%</w:t>
            </w:r>
          </w:p>
        </w:tc>
      </w:tr>
      <w:tr>
        <w:tc>
          <w:tcPr>
            <w:tcW w:type="dxa" w:w="1881"/>
          </w:tcPr>
          <w:p>
            <w:r>
              <w:rPr>
                <w:sz w:val="20"/>
              </w:rPr>
              <w:t>Sul de Minas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R$ 4,1 mi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+6,5%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1,6%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91%</w:t>
            </w:r>
          </w:p>
        </w:tc>
      </w:tr>
      <w:tr>
        <w:tc>
          <w:tcPr>
            <w:tcW w:type="dxa" w:w="1881"/>
          </w:tcPr>
          <w:p>
            <w:r>
              <w:rPr>
                <w:sz w:val="20"/>
              </w:rPr>
              <w:t>Total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R$ 18,4 mi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+7,6%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3,0%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91%</w:t>
            </w:r>
          </w:p>
        </w:tc>
      </w:tr>
    </w:tbl>
    <w:p/>
    <w:p>
      <w:pPr>
        <w:spacing w:after="120"/>
        <w:jc w:val="both"/>
      </w:pPr>
      <w:r>
        <w:t>3.1. Campinas segue como a operação mais estável, com crescimento moderado, inadimplência controlada e o melhor índice logístico. O ganho de 4,1% veio principalmente de aumento de volume em clientes existentes.</w:t>
      </w:r>
    </w:p>
    <w:p>
      <w:pPr>
        <w:spacing w:after="120"/>
        <w:jc w:val="both"/>
      </w:pPr>
      <w:r>
        <w:t>3.2. Ribeirão Preto cresceu 13,0% com a entrada de 11 novos clientes, entre eles três redes regionais de médio porte. O crescimento acelerado, porém, veio acompanhado de deterioração nos dois indicadores de risco: a inadimplência subiu de 3,1% para 4,8%, e o índice de entregas no prazo caiu de 90% para 87%, em razão da indisponibilidade de dois veículos refrigerados durante o mês de maio.</w:t>
      </w:r>
    </w:p>
    <w:p>
      <w:pPr>
        <w:spacing w:after="120"/>
        <w:jc w:val="both"/>
      </w:pPr>
      <w:r>
        <w:t>3.3. Sul de Minas manteve trajetória consistente, com a menor inadimplência da operação. O índice logístico de 91% é explicado pela distância média de entrega, superior à das demais regiões.</w:t>
      </w:r>
    </w:p>
    <w:p>
      <w:pPr>
        <w:spacing w:before="240" w:after="80"/>
      </w:pPr>
      <w:r>
        <w:rPr>
          <w:b/>
          <w:sz w:val="24"/>
        </w:rPr>
        <w:t>4. Resultados por linha de produto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</w:tcPr>
          <w:p>
            <w:r>
              <w:rPr>
                <w:b/>
                <w:sz w:val="20"/>
              </w:rPr>
              <w:t>Linha</w:t>
            </w:r>
          </w:p>
        </w:tc>
        <w:tc>
          <w:tcPr>
            <w:tcW w:type="dxa" w:w="1881"/>
          </w:tcPr>
          <w:p>
            <w:r>
              <w:rPr>
                <w:b/>
                <w:sz w:val="20"/>
              </w:rPr>
              <w:t>Faturamento T2</w:t>
            </w:r>
          </w:p>
        </w:tc>
        <w:tc>
          <w:tcPr>
            <w:tcW w:type="dxa" w:w="1881"/>
          </w:tcPr>
          <w:p>
            <w:r>
              <w:rPr>
                <w:b/>
                <w:sz w:val="20"/>
              </w:rPr>
              <w:t>Var. vs T1</w:t>
            </w:r>
          </w:p>
        </w:tc>
        <w:tc>
          <w:tcPr>
            <w:tcW w:type="dxa" w:w="1881"/>
          </w:tcPr>
          <w:p>
            <w:r>
              <w:rPr>
                <w:b/>
                <w:sz w:val="20"/>
              </w:rPr>
              <w:t>Margem bruta</w:t>
            </w:r>
          </w:p>
        </w:tc>
        <w:tc>
          <w:tcPr>
            <w:tcW w:type="dxa" w:w="1881"/>
          </w:tcPr>
          <w:p>
            <w:r>
              <w:rPr>
                <w:b/>
                <w:sz w:val="20"/>
              </w:rPr>
              <w:t>Participação</w:t>
            </w:r>
          </w:p>
        </w:tc>
      </w:tr>
      <w:tr>
        <w:tc>
          <w:tcPr>
            <w:tcW w:type="dxa" w:w="1881"/>
          </w:tcPr>
          <w:p>
            <w:r>
              <w:rPr>
                <w:sz w:val="20"/>
              </w:rPr>
              <w:t>Secos (grãos, massas, enlatados)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R$ 11,0 mi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+5,0%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23,8%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59,8%</w:t>
            </w:r>
          </w:p>
        </w:tc>
      </w:tr>
      <w:tr>
        <w:tc>
          <w:tcPr>
            <w:tcW w:type="dxa" w:w="1881"/>
          </w:tcPr>
          <w:p>
            <w:r>
              <w:rPr>
                <w:sz w:val="20"/>
              </w:rPr>
              <w:t>Refrigerados (laticínios, frios)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R$ 5,9 mi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+12,0%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17,1%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32,1%</w:t>
            </w:r>
          </w:p>
        </w:tc>
      </w:tr>
      <w:tr>
        <w:tc>
          <w:tcPr>
            <w:tcW w:type="dxa" w:w="1881"/>
          </w:tcPr>
          <w:p>
            <w:r>
              <w:rPr>
                <w:sz w:val="20"/>
              </w:rPr>
              <w:t>Bebidas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R$ 1,5 mi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+3,0%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19,4%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8,1%</w:t>
            </w:r>
          </w:p>
        </w:tc>
      </w:tr>
    </w:tbl>
    <w:p/>
    <w:p>
      <w:pPr>
        <w:spacing w:after="120"/>
        <w:jc w:val="both"/>
      </w:pPr>
      <w:r>
        <w:t>4.1. A linha de refrigerados cresce a mais que o dobro da média da empresa e já representa quase um terço do faturamento. Sua margem, no entanto, é 6,7 pontos percentuais inferior à dos secos, e o custo do frete refrigerado subiu 9% no trimestre. A combinação explica a maior parte do recuo da margem consolidada.</w:t>
      </w:r>
    </w:p>
    <w:p>
      <w:pPr>
        <w:spacing w:after="120"/>
        <w:jc w:val="both"/>
      </w:pPr>
      <w:r>
        <w:t>4.2. Não há, até a data deste relatório, um levantamento detalhado do custo logístico por linha de produto. A Diretoria Comercial recomenda que esse levantamento seja realizado antes de qualquer decisão sobre precificação de refrigerados.</w:t>
      </w:r>
    </w:p>
    <w:p>
      <w:pPr>
        <w:spacing w:before="240" w:after="80"/>
      </w:pPr>
      <w:r>
        <w:rPr>
          <w:b/>
          <w:sz w:val="24"/>
        </w:rPr>
        <w:t>5. Carteira de clientes</w:t>
      </w:r>
    </w:p>
    <w:p>
      <w:pPr>
        <w:spacing w:after="120"/>
        <w:jc w:val="both"/>
      </w:pPr>
      <w:r>
        <w:t>A carteira encerrou o trimestre com 312 clientes ativos, sendo 187 supermercados e mercearias, 94 restaurantes e serviços de alimentação e 31 clientes institucionais (escolas, hospitais e refeitórios industriais).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</w:tcPr>
          <w:p>
            <w:r>
              <w:rPr>
                <w:b/>
                <w:sz w:val="20"/>
              </w:rPr>
              <w:t>Cliente</w:t>
            </w:r>
          </w:p>
        </w:tc>
        <w:tc>
          <w:tcPr>
            <w:tcW w:type="dxa" w:w="2351"/>
          </w:tcPr>
          <w:p>
            <w:r>
              <w:rPr>
                <w:b/>
                <w:sz w:val="20"/>
              </w:rPr>
              <w:t>Região</w:t>
            </w:r>
          </w:p>
        </w:tc>
        <w:tc>
          <w:tcPr>
            <w:tcW w:type="dxa" w:w="2351"/>
          </w:tcPr>
          <w:p>
            <w:r>
              <w:rPr>
                <w:b/>
                <w:sz w:val="20"/>
              </w:rPr>
              <w:t>Faturamento T2</w:t>
            </w:r>
          </w:p>
        </w:tc>
        <w:tc>
          <w:tcPr>
            <w:tcW w:type="dxa" w:w="2351"/>
          </w:tcPr>
          <w:p>
            <w:r>
              <w:rPr>
                <w:b/>
                <w:sz w:val="20"/>
              </w:rPr>
              <w:t>Participação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Supermercados Bom Preço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Ribeirão Preto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R$ 2,70 mi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14,7%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Rede Economia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Campinas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R$ 1,66 mi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9,0%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Mercado São Jorge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Sul de Minas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R$ 1,29 mi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7,0%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Cozinha Industrial Metalcamp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Campinas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R$ 1,10 mi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6,0%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Atacado Vila Rica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Ribeirão Preto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R$ 0,79 mi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4,3%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Demais 307 clientes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R$ 10,86 mi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59,0%</w:t>
            </w:r>
          </w:p>
        </w:tc>
      </w:tr>
    </w:tbl>
    <w:p/>
    <w:p>
      <w:pPr>
        <w:spacing w:before="240" w:after="80"/>
      </w:pPr>
      <w:r>
        <w:rPr>
          <w:b/>
          <w:sz w:val="24"/>
        </w:rPr>
        <w:t>6. Inadimplência e concentração</w:t>
      </w:r>
    </w:p>
    <w:p>
      <w:pPr>
        <w:spacing w:after="120"/>
        <w:jc w:val="both"/>
      </w:pPr>
      <w:r>
        <w:t>6.1. A inadimplência consolidada (títulos vencidos há mais de 30 dias) subiu de 2,4% para 3,0%. O aumento está concentrado em Ribeirão Preto, onde sete dos onze clientes novos apresentaram atraso no primeiro ciclo de faturamento.</w:t>
      </w:r>
    </w:p>
    <w:p>
      <w:pPr>
        <w:spacing w:after="120"/>
        <w:jc w:val="both"/>
      </w:pPr>
      <w:r>
        <w:t>6.2. O Financeiro propôs, em reunião de 30 de junho, o bloqueio automático de novos pedidos para clientes com títulos vencidos há mais de 30 dias. A medida ainda não foi implementada no sistema.</w:t>
      </w:r>
    </w:p>
    <w:p>
      <w:pPr>
        <w:spacing w:after="120"/>
        <w:jc w:val="both"/>
      </w:pPr>
      <w:r>
        <w:t>6.3. Supermercados Bom Preço, maior cliente da empresa e historicamente pontual, solicitou em junho a ampliação do prazo de pagamento de 28 para 45 dias, no contexto da renovação antecipada do contrato. A solicitação está em análise. Ressalta-se que a dependência de um único cliente para 14,7% do faturamento constitui risco relevante: a perda dessa conta reduziria o faturamento de Ribeirão Preto em 44%.</w:t>
      </w:r>
    </w:p>
    <w:p>
      <w:pPr>
        <w:spacing w:before="240" w:after="80"/>
      </w:pPr>
      <w:r>
        <w:rPr>
          <w:b/>
          <w:sz w:val="24"/>
        </w:rPr>
        <w:t>7. Logística</w:t>
      </w:r>
    </w:p>
    <w:p>
      <w:pPr>
        <w:spacing w:after="120"/>
        <w:jc w:val="both"/>
      </w:pPr>
      <w:r>
        <w:t>7.1. O índice consolidado de entregas no prazo foi de 91%, contra meta de 95%. Em Ribeirão Preto, dois veículos refrigerados ficaram indisponíveis entre 6 e 27 de maio por manutenção corretiva, o que resultou em 214 entregas atrasadas e 38 pedidos cancelados pelo cliente, com perda estimada de R$ 96 mil em faturamento.</w:t>
      </w:r>
    </w:p>
    <w:p>
      <w:pPr>
        <w:spacing w:after="120"/>
        <w:jc w:val="both"/>
      </w:pPr>
      <w:r>
        <w:t>7.2. O custo médio de frete por pedido subiu 9%, de R$ 118 para R$ 129, impulsionado pelo combustível e pela maior participação de cargas refrigeradas.</w:t>
      </w:r>
    </w:p>
    <w:p>
      <w:pPr>
        <w:spacing w:after="120"/>
        <w:jc w:val="both"/>
      </w:pPr>
      <w:r>
        <w:t>7.3. A Operação estuda a contratação de transportadora terceirizada para os picos de fim de mês em Ribeirão Preto. Não há, ainda, proposta comercial recebida.</w:t>
      </w:r>
    </w:p>
    <w:p>
      <w:pPr>
        <w:spacing w:before="240" w:after="80"/>
      </w:pPr>
      <w:r>
        <w:rPr>
          <w:b/>
          <w:sz w:val="24"/>
        </w:rPr>
        <w:t>8. Estudo preliminar: expansão para Sorocaba</w:t>
      </w:r>
    </w:p>
    <w:p>
      <w:pPr>
        <w:spacing w:after="120"/>
        <w:jc w:val="both"/>
      </w:pPr>
      <w:r>
        <w:t>8.1. A região de Sorocaba concentra 38 clientes potenciais mapeados (22 supermercados, 11 restaurantes e 5 institucionais), com demanda estimada em R$ 1,1 milhão por trimestre no primeiro ano de operação, chegando a R$ 1,8 milhão por trimestre no terceiro ano.</w:t>
      </w:r>
    </w:p>
    <w:p>
      <w:pPr>
        <w:spacing w:after="120"/>
        <w:jc w:val="both"/>
      </w:pPr>
      <w:r>
        <w:t>8.2. A abertura de um quarto centro de distribuição exige investimento estimado de R$ 3,2 milhões (galpão, câmaras frias, dois veículos e capital de giro inicial). O retorno estimado é de 30 meses, considerando a captura de 60% da demanda mapeada.</w:t>
      </w:r>
    </w:p>
    <w:p>
      <w:pPr>
        <w:spacing w:after="120"/>
        <w:jc w:val="both"/>
      </w:pPr>
      <w:r>
        <w:t>8.3. A estimativa depende da assinatura de dois contratos-âncora, com a rede Supermercados Família (8 lojas) e com o Hospital Regional de Sorocaba, ainda em negociação. Sem esses dois contratos, o retorno estimado passa de 30 para 52 meses.</w:t>
      </w:r>
    </w:p>
    <w:p>
      <w:pPr>
        <w:spacing w:after="120"/>
        <w:jc w:val="both"/>
      </w:pPr>
      <w:r>
        <w:t>8.4. Alternativa de menor risco: atender Sorocaba a partir do centro de Campinas, com rota dedicada, por 12 meses, antes de decidir pela abertura do centro próprio. Esta alternativa reduz o investimento inicial a R$ 480 mil, mas limita o atendimento a produtos secos e eleva o custo de frete por pedido em cerca de 35%.</w:t>
      </w:r>
    </w:p>
    <w:p>
      <w:pPr>
        <w:spacing w:after="120"/>
        <w:jc w:val="both"/>
      </w:pPr>
      <w:r>
        <w:t>8.5. A decisão está pendente de deliberação da diretoria, prevista para a reunião de 20 de setembro de 2026.</w:t>
      </w:r>
    </w:p>
    <w:p>
      <w:pPr>
        <w:spacing w:before="240" w:after="80"/>
      </w:pPr>
      <w:r>
        <w:rPr>
          <w:b/>
          <w:sz w:val="24"/>
        </w:rPr>
        <w:t>9. Pontos de atenção</w:t>
      </w:r>
    </w:p>
    <w:p>
      <w:pPr>
        <w:pStyle w:val="ListBullet"/>
        <w:spacing w:after="60"/>
      </w:pPr>
      <w:r>
        <w:t>Concentração de 14,7% do faturamento em um único cliente, atualmente em renegociação contratual.</w:t>
      </w:r>
    </w:p>
    <w:p>
      <w:pPr>
        <w:pStyle w:val="ListBullet"/>
        <w:spacing w:after="60"/>
      </w:pPr>
      <w:r>
        <w:t>Inadimplência de 4,8% em Ribeirão Preto, sem bloqueio automático de pedidos implementado.</w:t>
      </w:r>
    </w:p>
    <w:p>
      <w:pPr>
        <w:pStyle w:val="ListBullet"/>
        <w:spacing w:after="60"/>
      </w:pPr>
      <w:r>
        <w:t>Índice logístico de 87% em Ribeirão Preto, abaixo da meta, com impacto direto em cancelamentos.</w:t>
      </w:r>
    </w:p>
    <w:p>
      <w:pPr>
        <w:pStyle w:val="ListBullet"/>
        <w:spacing w:after="60"/>
      </w:pPr>
      <w:r>
        <w:t>Margem da linha de refrigerados em queda, sem levantamento de custo logístico por linha.</w:t>
      </w:r>
    </w:p>
    <w:p>
      <w:pPr>
        <w:pStyle w:val="ListBullet"/>
        <w:spacing w:after="60"/>
      </w:pPr>
      <w:r>
        <w:t>Estudo de Sorocaba condicionado a dois contratos ainda não assinados.</w:t>
      </w:r>
    </w:p>
    <w:p>
      <w:pPr>
        <w:spacing w:before="240" w:after="80"/>
      </w:pPr>
      <w:r>
        <w:rPr>
          <w:b/>
          <w:sz w:val="24"/>
        </w:rPr>
        <w:t>10. Recomendações preliminares</w:t>
      </w:r>
    </w:p>
    <w:p>
      <w:pPr>
        <w:pStyle w:val="ListBullet"/>
        <w:spacing w:after="60"/>
      </w:pPr>
      <w:r>
        <w:t>Implementar o bloqueio automático de pedidos para inadimplentes até o fim de setembro.</w:t>
      </w:r>
    </w:p>
    <w:p>
      <w:pPr>
        <w:pStyle w:val="ListBullet"/>
        <w:spacing w:after="60"/>
      </w:pPr>
      <w:r>
        <w:t>Concluir o levantamento de custo logístico por linha de produto antes de revisar preços de refrigerados.</w:t>
      </w:r>
    </w:p>
    <w:p>
      <w:pPr>
        <w:pStyle w:val="ListBullet"/>
        <w:spacing w:after="60"/>
      </w:pPr>
      <w:r>
        <w:t>Formalizar contrato com transportadora terceirizada para Ribeirão Preto antes do pico de outubro.</w:t>
      </w:r>
    </w:p>
    <w:p>
      <w:pPr>
        <w:pStyle w:val="ListBullet"/>
        <w:spacing w:after="60"/>
      </w:pPr>
      <w:r>
        <w:t>Conduzir a renegociação com Supermercados Bom Preço com atenção ao prazo de pagamento e à cláusula de exclusividade proposta.</w:t>
      </w:r>
    </w:p>
    <w:p>
      <w:pPr>
        <w:pStyle w:val="ListBullet"/>
        <w:spacing w:after="60"/>
      </w:pPr>
      <w:r>
        <w:t>Condicionar a decisão de Sorocaba à assinatura de pelo menos um dos contratos-âncora.</w:t>
      </w:r>
    </w:p>
    <w:p>
      <w:pPr>
        <w:spacing w:before="240" w:after="80"/>
      </w:pPr>
      <w:r>
        <w:rPr>
          <w:b/>
          <w:sz w:val="24"/>
        </w:rPr>
        <w:t>Anexo A. Faturamento mensal por região (R$ mil)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</w:tcPr>
          <w:p>
            <w:r>
              <w:rPr>
                <w:b/>
                <w:sz w:val="20"/>
              </w:rPr>
              <w:t>Região</w:t>
            </w:r>
          </w:p>
        </w:tc>
        <w:tc>
          <w:tcPr>
            <w:tcW w:type="dxa" w:w="1881"/>
          </w:tcPr>
          <w:p>
            <w:r>
              <w:rPr>
                <w:b/>
                <w:sz w:val="20"/>
              </w:rPr>
              <w:t>Abril</w:t>
            </w:r>
          </w:p>
        </w:tc>
        <w:tc>
          <w:tcPr>
            <w:tcW w:type="dxa" w:w="1881"/>
          </w:tcPr>
          <w:p>
            <w:r>
              <w:rPr>
                <w:b/>
                <w:sz w:val="20"/>
              </w:rPr>
              <w:t>Maio</w:t>
            </w:r>
          </w:p>
        </w:tc>
        <w:tc>
          <w:tcPr>
            <w:tcW w:type="dxa" w:w="1881"/>
          </w:tcPr>
          <w:p>
            <w:r>
              <w:rPr>
                <w:b/>
                <w:sz w:val="20"/>
              </w:rPr>
              <w:t>Junho</w:t>
            </w:r>
          </w:p>
        </w:tc>
        <w:tc>
          <w:tcPr>
            <w:tcW w:type="dxa" w:w="1881"/>
          </w:tcPr>
          <w:p>
            <w:r>
              <w:rPr>
                <w:b/>
                <w:sz w:val="20"/>
              </w:rPr>
              <w:t>Total T2</w:t>
            </w:r>
          </w:p>
        </w:tc>
      </w:tr>
      <w:tr>
        <w:tc>
          <w:tcPr>
            <w:tcW w:type="dxa" w:w="1881"/>
          </w:tcPr>
          <w:p>
            <w:r>
              <w:rPr>
                <w:sz w:val="20"/>
              </w:rPr>
              <w:t>Campinas e região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2.690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2.720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2.790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8.200</w:t>
            </w:r>
          </w:p>
        </w:tc>
      </w:tr>
      <w:tr>
        <w:tc>
          <w:tcPr>
            <w:tcW w:type="dxa" w:w="1881"/>
          </w:tcPr>
          <w:p>
            <w:r>
              <w:rPr>
                <w:sz w:val="20"/>
              </w:rPr>
              <w:t>Ribeirão Preto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2.080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1.870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2.150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6.100</w:t>
            </w:r>
          </w:p>
        </w:tc>
      </w:tr>
      <w:tr>
        <w:tc>
          <w:tcPr>
            <w:tcW w:type="dxa" w:w="1881"/>
          </w:tcPr>
          <w:p>
            <w:r>
              <w:rPr>
                <w:sz w:val="20"/>
              </w:rPr>
              <w:t>Sul de Minas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1.330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1.370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1.400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4.100</w:t>
            </w:r>
          </w:p>
        </w:tc>
      </w:tr>
      <w:tr>
        <w:tc>
          <w:tcPr>
            <w:tcW w:type="dxa" w:w="1881"/>
          </w:tcPr>
          <w:p>
            <w:r>
              <w:rPr>
                <w:sz w:val="20"/>
              </w:rPr>
              <w:t>Total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6.100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5.960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6.340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18.400</w:t>
            </w:r>
          </w:p>
        </w:tc>
      </w:tr>
    </w:tbl>
    <w:p/>
    <w:p>
      <w:pPr>
        <w:spacing w:after="120"/>
        <w:jc w:val="both"/>
      </w:pPr>
      <w:r>
        <w:t>Nota: a queda de Ribeirão Preto em maio reflete os 38 pedidos cancelados durante a indisponibilidade da frota refrigerada.</w:t>
      </w:r>
    </w:p>
    <w:p>
      <w:pPr>
        <w:spacing w:before="240" w:after="80"/>
      </w:pPr>
      <w:r>
        <w:rPr>
          <w:b/>
          <w:sz w:val="24"/>
        </w:rPr>
        <w:t>Anexo B. Indicadores logísticos por região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</w:tcPr>
          <w:p>
            <w:r>
              <w:rPr>
                <w:b/>
                <w:sz w:val="20"/>
              </w:rPr>
              <w:t>Região</w:t>
            </w:r>
          </w:p>
        </w:tc>
        <w:tc>
          <w:tcPr>
            <w:tcW w:type="dxa" w:w="1881"/>
          </w:tcPr>
          <w:p>
            <w:r>
              <w:rPr>
                <w:b/>
                <w:sz w:val="20"/>
              </w:rPr>
              <w:t>Pedidos</w:t>
            </w:r>
          </w:p>
        </w:tc>
        <w:tc>
          <w:tcPr>
            <w:tcW w:type="dxa" w:w="1881"/>
          </w:tcPr>
          <w:p>
            <w:r>
              <w:rPr>
                <w:b/>
                <w:sz w:val="20"/>
              </w:rPr>
              <w:t>Entregas atrasadas</w:t>
            </w:r>
          </w:p>
        </w:tc>
        <w:tc>
          <w:tcPr>
            <w:tcW w:type="dxa" w:w="1881"/>
          </w:tcPr>
          <w:p>
            <w:r>
              <w:rPr>
                <w:b/>
                <w:sz w:val="20"/>
              </w:rPr>
              <w:t>Cancelados</w:t>
            </w:r>
          </w:p>
        </w:tc>
        <w:tc>
          <w:tcPr>
            <w:tcW w:type="dxa" w:w="1881"/>
          </w:tcPr>
          <w:p>
            <w:r>
              <w:rPr>
                <w:b/>
                <w:sz w:val="20"/>
              </w:rPr>
              <w:t>Custo médio frete</w:t>
            </w:r>
          </w:p>
        </w:tc>
      </w:tr>
      <w:tr>
        <w:tc>
          <w:tcPr>
            <w:tcW w:type="dxa" w:w="1881"/>
          </w:tcPr>
          <w:p>
            <w:r>
              <w:rPr>
                <w:sz w:val="20"/>
              </w:rPr>
              <w:t>Campinas e região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3.110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187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9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R$ 112</w:t>
            </w:r>
          </w:p>
        </w:tc>
      </w:tr>
      <w:tr>
        <w:tc>
          <w:tcPr>
            <w:tcW w:type="dxa" w:w="1881"/>
          </w:tcPr>
          <w:p>
            <w:r>
              <w:rPr>
                <w:sz w:val="20"/>
              </w:rPr>
              <w:t>Ribeirão Preto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2.290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298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38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R$ 138</w:t>
            </w:r>
          </w:p>
        </w:tc>
      </w:tr>
      <w:tr>
        <w:tc>
          <w:tcPr>
            <w:tcW w:type="dxa" w:w="1881"/>
          </w:tcPr>
          <w:p>
            <w:r>
              <w:rPr>
                <w:sz w:val="20"/>
              </w:rPr>
              <w:t>Sul de Minas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1.535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138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6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R$ 151</w:t>
            </w:r>
          </w:p>
        </w:tc>
      </w:tr>
      <w:tr>
        <w:tc>
          <w:tcPr>
            <w:tcW w:type="dxa" w:w="1881"/>
          </w:tcPr>
          <w:p>
            <w:r>
              <w:rPr>
                <w:sz w:val="20"/>
              </w:rPr>
              <w:t>Total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6.935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623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53</w:t>
            </w:r>
          </w:p>
        </w:tc>
        <w:tc>
          <w:tcPr>
            <w:tcW w:type="dxa" w:w="1881"/>
          </w:tcPr>
          <w:p>
            <w:r>
              <w:rPr>
                <w:sz w:val="20"/>
              </w:rPr>
              <w:t>R$ 129</w:t>
            </w:r>
          </w:p>
        </w:tc>
      </w:tr>
    </w:tbl>
    <w:p/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